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08638E">
        <w:rPr>
          <w:rFonts w:asciiTheme="minorHAnsi" w:hAnsiTheme="minorHAnsi"/>
          <w:sz w:val="20"/>
          <w:szCs w:val="20"/>
        </w:rPr>
        <w:t xml:space="preserve">„Zdobyte doświadczenie inwestycją w przyszłość lubelskiego technika” </w:t>
      </w:r>
      <w:r w:rsidRPr="00080E17">
        <w:rPr>
          <w:rFonts w:asciiTheme="minorHAnsi" w:hAnsiTheme="minorHAnsi"/>
          <w:sz w:val="20"/>
          <w:szCs w:val="20"/>
        </w:rPr>
        <w:t xml:space="preserve">o numerze </w:t>
      </w:r>
      <w:r w:rsidR="0008638E">
        <w:rPr>
          <w:rFonts w:asciiTheme="minorHAnsi" w:hAnsiTheme="minorHAnsi"/>
          <w:sz w:val="20"/>
          <w:szCs w:val="20"/>
        </w:rPr>
        <w:t xml:space="preserve">2018-1-PL01-KA102-047746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19650C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 Szkół Budowlanych im. Eugeniusza Kwiatkowskiego w Lublinie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19650C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19650C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Zespół Szkół Budowlanych im. Eugeniusza Kwiatkowskiego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19650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Lublinie,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="0019650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ul. Słowicza 3, 20-336 Lublin.</w:t>
      </w:r>
    </w:p>
    <w:p w:rsidR="007A6383" w:rsidRPr="00F061A4" w:rsidRDefault="0019650C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Zespół Szkół Budowlanych im. Eugeniusza Kwiatkowskiego w Lublinie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bookmarkStart w:id="0" w:name="_GoBack"/>
      <w:bookmarkEnd w:id="0"/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sekretariat@zsb.lublin.pl.</w:t>
      </w:r>
    </w:p>
    <w:p w:rsidR="0019650C" w:rsidRDefault="0019650C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19650C" w:rsidRDefault="0019650C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19650C" w:rsidRDefault="0019650C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19650C" w:rsidRDefault="0019650C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19650C" w:rsidRDefault="0019650C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19650C">
        <w:rPr>
          <w:rFonts w:asciiTheme="minorHAnsi" w:hAnsiTheme="minorHAnsi"/>
          <w:sz w:val="20"/>
          <w:szCs w:val="20"/>
        </w:rPr>
        <w:t>wypełnia kandydat(tka</w:t>
      </w:r>
      <w:r w:rsidR="0019650C">
        <w:rPr>
          <w:rFonts w:asciiTheme="minorHAnsi" w:hAnsiTheme="minorHAnsi"/>
          <w:sz w:val="20"/>
          <w:szCs w:val="20"/>
        </w:rPr>
        <w:t>)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19650C" w:rsidRDefault="0019650C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19650C" w:rsidRPr="00E77222" w:rsidRDefault="0019650C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77222">
        <w:rPr>
          <w:rFonts w:asciiTheme="minorHAnsi" w:hAnsiTheme="minorHAnsi"/>
          <w:sz w:val="20"/>
          <w:szCs w:val="20"/>
        </w:rPr>
        <w:t>Proszę wpisać dane</w:t>
      </w:r>
      <w:r w:rsidR="00E77222" w:rsidRPr="00E77222">
        <w:rPr>
          <w:rFonts w:asciiTheme="minorHAnsi" w:hAnsiTheme="minorHAnsi"/>
          <w:sz w:val="20"/>
          <w:szCs w:val="20"/>
        </w:rPr>
        <w:t xml:space="preserve"> wynikające z klasyfikacji semestralnej</w:t>
      </w:r>
      <w:r w:rsidRPr="00E77222">
        <w:rPr>
          <w:rFonts w:asciiTheme="minorHAnsi" w:hAnsiTheme="minorHAnsi"/>
          <w:sz w:val="20"/>
          <w:szCs w:val="20"/>
        </w:rPr>
        <w:t>, które zostaną przeliczone na punkty zgodnie z regulaminem rekrutacji.</w:t>
      </w:r>
    </w:p>
    <w:p w:rsidR="0019650C" w:rsidRDefault="0019650C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19650C" w:rsidRDefault="0019650C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19650C" w:rsidRDefault="0019650C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77222" w:rsidTr="00E77222">
        <w:tc>
          <w:tcPr>
            <w:tcW w:w="4606" w:type="dxa"/>
          </w:tcPr>
          <w:p w:rsidR="00E77222" w:rsidRPr="00E77222" w:rsidRDefault="00E77222" w:rsidP="00725DB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77222">
              <w:rPr>
                <w:rFonts w:asciiTheme="minorHAnsi" w:hAnsiTheme="minorHAnsi"/>
                <w:sz w:val="20"/>
                <w:szCs w:val="20"/>
              </w:rPr>
              <w:t>średnia ocen</w:t>
            </w:r>
            <w:r w:rsidR="00725DB0">
              <w:rPr>
                <w:rFonts w:asciiTheme="minorHAnsi" w:hAnsiTheme="minorHAnsi"/>
                <w:sz w:val="20"/>
                <w:szCs w:val="20"/>
              </w:rPr>
              <w:t xml:space="preserve"> klasyfikacyjnych</w:t>
            </w:r>
            <w:r w:rsidRPr="00E77222">
              <w:rPr>
                <w:rFonts w:asciiTheme="minorHAnsi" w:hAnsiTheme="minorHAnsi"/>
                <w:sz w:val="20"/>
                <w:szCs w:val="20"/>
              </w:rPr>
              <w:t xml:space="preserve"> z przedmiotów zawodowych</w:t>
            </w:r>
            <w:r w:rsidR="00725DB0">
              <w:rPr>
                <w:rFonts w:asciiTheme="minorHAnsi" w:hAnsiTheme="minorHAnsi"/>
                <w:sz w:val="20"/>
                <w:szCs w:val="20"/>
              </w:rPr>
              <w:t xml:space="preserve"> w I semestrze roku szkolnego 2018/19</w:t>
            </w:r>
          </w:p>
          <w:p w:rsidR="00E77222" w:rsidRDefault="00E77222" w:rsidP="00E7722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4606" w:type="dxa"/>
          </w:tcPr>
          <w:p w:rsid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E77222" w:rsidTr="00E77222">
        <w:tc>
          <w:tcPr>
            <w:tcW w:w="4606" w:type="dxa"/>
          </w:tcPr>
          <w:p w:rsidR="00E77222" w:rsidRPr="00E77222" w:rsidRDefault="00E77222" w:rsidP="00E7722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222">
              <w:rPr>
                <w:rFonts w:asciiTheme="minorHAnsi" w:hAnsiTheme="minorHAnsi"/>
                <w:sz w:val="20"/>
                <w:szCs w:val="20"/>
              </w:rPr>
              <w:t>śródroczna ocena klasyfikacyjna zachowania</w:t>
            </w:r>
            <w:r w:rsidR="00725DB0">
              <w:rPr>
                <w:rFonts w:asciiTheme="minorHAnsi" w:hAnsiTheme="minorHAnsi"/>
                <w:sz w:val="20"/>
                <w:szCs w:val="20"/>
              </w:rPr>
              <w:t xml:space="preserve"> w I semestrze roku szkolnego 2018/19</w:t>
            </w:r>
          </w:p>
          <w:p w:rsidR="00E77222" w:rsidRPr="00E77222" w:rsidRDefault="00E77222" w:rsidP="00E7722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E77222" w:rsidTr="00E77222">
        <w:tc>
          <w:tcPr>
            <w:tcW w:w="4606" w:type="dxa"/>
          </w:tcPr>
          <w:p w:rsidR="00E77222" w:rsidRPr="00E77222" w:rsidRDefault="00E77222" w:rsidP="00E7722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222">
              <w:rPr>
                <w:rFonts w:asciiTheme="minorHAnsi" w:hAnsiTheme="minorHAnsi"/>
                <w:sz w:val="20"/>
                <w:szCs w:val="20"/>
              </w:rPr>
              <w:t>śródroczna frekwencja na zajęciach lekcyjnych</w:t>
            </w:r>
            <w:r w:rsidR="00725DB0">
              <w:rPr>
                <w:rFonts w:asciiTheme="minorHAnsi" w:hAnsiTheme="minorHAnsi"/>
                <w:sz w:val="20"/>
                <w:szCs w:val="20"/>
              </w:rPr>
              <w:t xml:space="preserve"> w I semestrze roku szkolnego 2018/19</w:t>
            </w:r>
          </w:p>
          <w:p w:rsidR="00E77222" w:rsidRPr="00E77222" w:rsidRDefault="00E77222" w:rsidP="00E7722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E77222" w:rsidTr="00E77222">
        <w:tc>
          <w:tcPr>
            <w:tcW w:w="4606" w:type="dxa"/>
          </w:tcPr>
          <w:p w:rsidR="00E77222" w:rsidRP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222">
              <w:rPr>
                <w:rFonts w:asciiTheme="minorHAnsi" w:hAnsiTheme="minorHAnsi"/>
                <w:sz w:val="20"/>
                <w:szCs w:val="20"/>
              </w:rPr>
              <w:t>semestralna ocena z języka niemieckiego</w:t>
            </w:r>
            <w:r w:rsidR="00725DB0">
              <w:rPr>
                <w:rFonts w:asciiTheme="minorHAnsi" w:hAnsiTheme="minorHAnsi"/>
                <w:sz w:val="20"/>
                <w:szCs w:val="20"/>
              </w:rPr>
              <w:t xml:space="preserve"> w I semestrze roku szkolnego 2018/19</w:t>
            </w:r>
          </w:p>
          <w:p w:rsidR="00E77222" w:rsidRP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E77222" w:rsidTr="00E77222">
        <w:tc>
          <w:tcPr>
            <w:tcW w:w="4606" w:type="dxa"/>
          </w:tcPr>
          <w:p w:rsidR="00E77222" w:rsidRP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222">
              <w:rPr>
                <w:rFonts w:asciiTheme="minorHAnsi" w:hAnsiTheme="minorHAnsi"/>
                <w:sz w:val="20"/>
                <w:szCs w:val="20"/>
              </w:rPr>
              <w:t xml:space="preserve">działania na rzecz szkoły ( konkursy, akademie, akcje </w:t>
            </w:r>
          </w:p>
          <w:p w:rsidR="00E77222" w:rsidRP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77222">
              <w:rPr>
                <w:rFonts w:asciiTheme="minorHAnsi" w:hAnsiTheme="minorHAnsi"/>
                <w:sz w:val="20"/>
                <w:szCs w:val="20"/>
              </w:rPr>
              <w:t>charytatywne itp.)</w:t>
            </w:r>
            <w:r w:rsidR="00725DB0">
              <w:rPr>
                <w:rFonts w:asciiTheme="minorHAnsi" w:hAnsiTheme="minorHAnsi"/>
                <w:sz w:val="20"/>
                <w:szCs w:val="20"/>
              </w:rPr>
              <w:t xml:space="preserve"> w I semestrze roku szkolnego 2018/19</w:t>
            </w:r>
          </w:p>
          <w:p w:rsidR="00E77222" w:rsidRP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77222" w:rsidRP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77222" w:rsidRP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77222" w:rsidRP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77222" w:rsidRP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E77222" w:rsidRDefault="00E77222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</w:tbl>
    <w:p w:rsidR="0019650C" w:rsidRDefault="0019650C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19650C" w:rsidRDefault="0019650C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E77222">
        <w:rPr>
          <w:rFonts w:asciiTheme="minorHAnsi" w:hAnsiTheme="minorHAnsi"/>
          <w:sz w:val="20"/>
          <w:szCs w:val="20"/>
        </w:rPr>
        <w:t>kandydata(</w:t>
      </w:r>
      <w:proofErr w:type="spellStart"/>
      <w:r w:rsidRPr="00E77222">
        <w:rPr>
          <w:rFonts w:asciiTheme="minorHAnsi" w:hAnsiTheme="minorHAnsi"/>
          <w:sz w:val="20"/>
          <w:szCs w:val="20"/>
        </w:rPr>
        <w:t>tki</w:t>
      </w:r>
      <w:proofErr w:type="spellEnd"/>
      <w:r w:rsidRPr="00E77222">
        <w:rPr>
          <w:rFonts w:asciiTheme="minorHAnsi" w:hAnsiTheme="minorHAnsi"/>
          <w:sz w:val="20"/>
          <w:szCs w:val="20"/>
        </w:rPr>
        <w:t>)</w:t>
      </w:r>
    </w:p>
    <w:p w:rsidR="00725DB0" w:rsidRDefault="00725DB0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:rsidR="00725DB0" w:rsidRDefault="00725DB0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:rsidR="00725DB0" w:rsidRPr="00080E17" w:rsidRDefault="00725DB0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:rsidR="00725DB0" w:rsidRPr="00725DB0" w:rsidRDefault="00725DB0" w:rsidP="00725DB0">
      <w:pPr>
        <w:pStyle w:val="Default"/>
        <w:rPr>
          <w:rFonts w:asciiTheme="minorHAnsi" w:hAnsiTheme="minorHAnsi"/>
          <w:sz w:val="20"/>
          <w:szCs w:val="20"/>
        </w:rPr>
      </w:pPr>
      <w:r w:rsidRPr="00725DB0">
        <w:rPr>
          <w:rFonts w:asciiTheme="minorHAnsi" w:hAnsiTheme="minorHAnsi"/>
          <w:b/>
          <w:bCs/>
          <w:sz w:val="20"/>
          <w:szCs w:val="20"/>
        </w:rPr>
        <w:t xml:space="preserve">Oświadczenie rodzica /opiekuna prawnego </w:t>
      </w:r>
    </w:p>
    <w:p w:rsidR="00725DB0" w:rsidRPr="00725DB0" w:rsidRDefault="00725DB0" w:rsidP="00725DB0">
      <w:pPr>
        <w:pStyle w:val="Default"/>
        <w:rPr>
          <w:rFonts w:asciiTheme="minorHAnsi" w:hAnsiTheme="minorHAnsi"/>
          <w:sz w:val="20"/>
          <w:szCs w:val="20"/>
        </w:rPr>
      </w:pPr>
      <w:r w:rsidRPr="00725DB0">
        <w:rPr>
          <w:rFonts w:asciiTheme="minorHAnsi" w:hAnsiTheme="minorHAnsi"/>
          <w:sz w:val="20"/>
          <w:szCs w:val="20"/>
        </w:rPr>
        <w:t>Zgadzam się na uczestnictwo mojego syna / córki w zagranicznej praktyce programu</w:t>
      </w:r>
      <w:r>
        <w:rPr>
          <w:rFonts w:asciiTheme="minorHAnsi" w:hAnsiTheme="minorHAnsi"/>
          <w:sz w:val="20"/>
          <w:szCs w:val="20"/>
        </w:rPr>
        <w:t xml:space="preserve"> PO WER</w:t>
      </w:r>
      <w:r w:rsidRPr="00725DB0">
        <w:rPr>
          <w:rFonts w:asciiTheme="minorHAnsi" w:hAnsiTheme="minorHAnsi"/>
          <w:sz w:val="20"/>
          <w:szCs w:val="20"/>
        </w:rPr>
        <w:t xml:space="preserve">. W razie nieuzasadnionej rezygnacji zobowiązuję się do pokrycia związanych z tym kosztów. </w:t>
      </w:r>
    </w:p>
    <w:p w:rsidR="00725DB0" w:rsidRPr="00725DB0" w:rsidRDefault="00725DB0" w:rsidP="00725DB0">
      <w:pPr>
        <w:pStyle w:val="Default"/>
        <w:rPr>
          <w:rFonts w:asciiTheme="minorHAnsi" w:hAnsiTheme="minorHAnsi"/>
          <w:sz w:val="20"/>
          <w:szCs w:val="20"/>
        </w:rPr>
      </w:pPr>
      <w:r w:rsidRPr="00725DB0">
        <w:rPr>
          <w:rFonts w:asciiTheme="minorHAnsi" w:hAnsiTheme="minorHAnsi"/>
          <w:sz w:val="20"/>
          <w:szCs w:val="20"/>
        </w:rPr>
        <w:t xml:space="preserve">Oświadczam , iż podane w formularzu informacje są zgodne z prawdą. </w:t>
      </w:r>
    </w:p>
    <w:p w:rsidR="00725DB0" w:rsidRPr="00725DB0" w:rsidRDefault="00725DB0" w:rsidP="00725DB0">
      <w:pPr>
        <w:pStyle w:val="Default"/>
        <w:rPr>
          <w:rFonts w:asciiTheme="minorHAnsi" w:hAnsiTheme="minorHAnsi"/>
          <w:sz w:val="20"/>
          <w:szCs w:val="20"/>
        </w:rPr>
      </w:pPr>
    </w:p>
    <w:p w:rsidR="00725DB0" w:rsidRPr="00725DB0" w:rsidRDefault="00725DB0" w:rsidP="00725DB0">
      <w:pPr>
        <w:pStyle w:val="Default"/>
        <w:rPr>
          <w:rFonts w:asciiTheme="minorHAnsi" w:hAnsiTheme="minorHAnsi"/>
          <w:sz w:val="20"/>
          <w:szCs w:val="20"/>
        </w:rPr>
      </w:pPr>
    </w:p>
    <w:p w:rsidR="00725DB0" w:rsidRPr="00725DB0" w:rsidRDefault="00725DB0" w:rsidP="00725DB0">
      <w:pPr>
        <w:pStyle w:val="Default"/>
        <w:rPr>
          <w:rFonts w:asciiTheme="minorHAnsi" w:hAnsiTheme="minorHAnsi"/>
          <w:sz w:val="20"/>
          <w:szCs w:val="20"/>
        </w:rPr>
      </w:pPr>
    </w:p>
    <w:p w:rsidR="00725DB0" w:rsidRPr="00725DB0" w:rsidRDefault="00725DB0" w:rsidP="00725DB0">
      <w:pPr>
        <w:pStyle w:val="Default"/>
        <w:rPr>
          <w:rFonts w:asciiTheme="minorHAnsi" w:hAnsiTheme="minorHAnsi"/>
          <w:sz w:val="20"/>
          <w:szCs w:val="20"/>
        </w:rPr>
      </w:pPr>
      <w:r w:rsidRPr="00725DB0">
        <w:rPr>
          <w:rFonts w:asciiTheme="minorHAnsi" w:hAnsiTheme="minorHAnsi"/>
          <w:sz w:val="20"/>
          <w:szCs w:val="20"/>
        </w:rPr>
        <w:t xml:space="preserve">....................................................... </w:t>
      </w:r>
    </w:p>
    <w:p w:rsidR="00E7090A" w:rsidRPr="00725DB0" w:rsidRDefault="00725DB0" w:rsidP="00725DB0">
      <w:pPr>
        <w:rPr>
          <w:rFonts w:asciiTheme="minorHAnsi" w:hAnsiTheme="minorHAnsi"/>
          <w:sz w:val="20"/>
          <w:szCs w:val="20"/>
        </w:rPr>
      </w:pPr>
      <w:r w:rsidRPr="00725DB0">
        <w:rPr>
          <w:rFonts w:asciiTheme="minorHAnsi" w:hAnsiTheme="minorHAnsi"/>
          <w:sz w:val="20"/>
          <w:szCs w:val="20"/>
        </w:rPr>
        <w:t>Miejscowość, data. (Czytelny podpis rodzica lub prawnego opiekuna)</w:t>
      </w:r>
    </w:p>
    <w:sectPr w:rsidR="00E7090A" w:rsidRPr="00725DB0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89" w:rsidRDefault="00480F89" w:rsidP="00387A98">
      <w:r>
        <w:separator/>
      </w:r>
    </w:p>
  </w:endnote>
  <w:endnote w:type="continuationSeparator" w:id="0">
    <w:p w:rsidR="00480F89" w:rsidRDefault="00480F89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89" w:rsidRDefault="00480F89" w:rsidP="00387A98">
      <w:r>
        <w:separator/>
      </w:r>
    </w:p>
  </w:footnote>
  <w:footnote w:type="continuationSeparator" w:id="0">
    <w:p w:rsidR="00480F89" w:rsidRDefault="00480F89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7A98"/>
    <w:rsid w:val="00080E17"/>
    <w:rsid w:val="0008638E"/>
    <w:rsid w:val="0019650C"/>
    <w:rsid w:val="00387A98"/>
    <w:rsid w:val="00426F08"/>
    <w:rsid w:val="00480F89"/>
    <w:rsid w:val="005E0548"/>
    <w:rsid w:val="00613D57"/>
    <w:rsid w:val="0063601A"/>
    <w:rsid w:val="00725DB0"/>
    <w:rsid w:val="007A6383"/>
    <w:rsid w:val="007C30F4"/>
    <w:rsid w:val="008657ED"/>
    <w:rsid w:val="00980619"/>
    <w:rsid w:val="00A54AFB"/>
    <w:rsid w:val="00B71261"/>
    <w:rsid w:val="00CF765E"/>
    <w:rsid w:val="00E31220"/>
    <w:rsid w:val="00E7090A"/>
    <w:rsid w:val="00E77222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table" w:styleId="Tabela-Siatka">
    <w:name w:val="Table Grid"/>
    <w:basedOn w:val="Standardowy"/>
    <w:uiPriority w:val="59"/>
    <w:rsid w:val="00E77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DB0"/>
    <w:pPr>
      <w:autoSpaceDE w:val="0"/>
      <w:autoSpaceDN w:val="0"/>
      <w:adjustRightInd w:val="0"/>
    </w:pPr>
    <w:rPr>
      <w:rFonts w:ascii="Comic Sans MS" w:eastAsia="Times New Roman" w:hAnsi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35B7-B631-4E33-8E2F-C9AED771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4036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Rysiek jach</cp:lastModifiedBy>
  <cp:revision>4</cp:revision>
  <dcterms:created xsi:type="dcterms:W3CDTF">2018-12-02T14:53:00Z</dcterms:created>
  <dcterms:modified xsi:type="dcterms:W3CDTF">2018-12-02T14:59:00Z</dcterms:modified>
</cp:coreProperties>
</file>